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45BBAD">
      <w:pPr>
        <w:spacing w:line="560" w:lineRule="exact"/>
        <w:jc w:val="both"/>
        <w:rPr>
          <w:rFonts w:ascii="楷体_GB2312" w:eastAsia="楷体_GB2312"/>
          <w:sz w:val="28"/>
          <w:szCs w:val="28"/>
        </w:rPr>
      </w:pPr>
    </w:p>
    <w:p w14:paraId="5E9682CE">
      <w:pPr>
        <w:pStyle w:val="2"/>
        <w:rPr>
          <w:rFonts w:ascii="楷体_GB2312" w:eastAsia="楷体_GB2312"/>
          <w:sz w:val="28"/>
          <w:szCs w:val="28"/>
        </w:rPr>
      </w:pPr>
    </w:p>
    <w:p w14:paraId="38645172"/>
    <w:p w14:paraId="5026BF7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576" w:lineRule="exact"/>
        <w:textAlignment w:val="auto"/>
        <w:rPr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是否同意公开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（是）</w:t>
      </w:r>
    </w:p>
    <w:p w14:paraId="4C0BE4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4480" w:firstLineChars="16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办理结果：（C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 xml:space="preserve">）类                         </w:t>
      </w:r>
    </w:p>
    <w:p w14:paraId="507BABD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left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 xml:space="preserve">                                滦林草承办字〔2025〕11号</w:t>
      </w:r>
    </w:p>
    <w:p w14:paraId="787E3E75">
      <w:pPr>
        <w:pStyle w:val="2"/>
        <w:rPr>
          <w:rFonts w:hint="eastAsia"/>
          <w:lang w:val="en-US" w:eastAsia="zh-CN"/>
        </w:rPr>
      </w:pPr>
    </w:p>
    <w:p w14:paraId="4AB71080">
      <w:pPr>
        <w:autoSpaceDE w:val="0"/>
        <w:spacing w:line="576" w:lineRule="exact"/>
        <w:jc w:val="center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滦平县林业和草原局</w:t>
      </w:r>
    </w:p>
    <w:p w14:paraId="1000164E">
      <w:pPr>
        <w:autoSpaceDE w:val="0"/>
        <w:spacing w:line="576" w:lineRule="exact"/>
        <w:jc w:val="center"/>
        <w:rPr>
          <w:rFonts w:hint="eastAsia" w:ascii="Calibri" w:hAnsi="Calibri" w:eastAsia="方正小标宋简体"/>
          <w:sz w:val="44"/>
          <w:szCs w:val="44"/>
        </w:rPr>
      </w:pPr>
      <w:r>
        <w:rPr>
          <w:rFonts w:hint="eastAsia" w:ascii="方正小标宋简体" w:hAnsi="Calibri" w:eastAsia="方正小标宋简体"/>
          <w:sz w:val="44"/>
          <w:szCs w:val="44"/>
        </w:rPr>
        <w:t>对滦平县第十七届人民代表大会</w:t>
      </w:r>
    </w:p>
    <w:p w14:paraId="2D0751AF">
      <w:pPr>
        <w:autoSpaceDE w:val="0"/>
        <w:spacing w:line="576" w:lineRule="exact"/>
        <w:jc w:val="center"/>
        <w:rPr>
          <w:rFonts w:hint="eastAsia" w:ascii="Calibri" w:hAnsi="Calibri" w:eastAsia="方正小标宋简体"/>
          <w:sz w:val="44"/>
          <w:szCs w:val="44"/>
        </w:rPr>
      </w:pPr>
      <w:r>
        <w:rPr>
          <w:rFonts w:hint="eastAsia" w:ascii="方正小标宋简体" w:hAnsi="Calibri" w:eastAsia="方正小标宋简体"/>
          <w:sz w:val="44"/>
          <w:szCs w:val="44"/>
        </w:rPr>
        <w:t>第五次会议第</w:t>
      </w:r>
      <w:r>
        <w:rPr>
          <w:rFonts w:hint="eastAsia" w:ascii="方正小标宋简体" w:hAnsi="Calibri" w:eastAsia="方正小标宋简体"/>
          <w:sz w:val="44"/>
          <w:szCs w:val="44"/>
          <w:lang w:val="en-US" w:eastAsia="zh-CN"/>
        </w:rPr>
        <w:t>11</w:t>
      </w:r>
      <w:r>
        <w:rPr>
          <w:rFonts w:hint="eastAsia" w:ascii="方正小标宋简体" w:hAnsi="Calibri" w:eastAsia="方正小标宋简体"/>
          <w:sz w:val="44"/>
          <w:szCs w:val="44"/>
        </w:rPr>
        <w:t>号建议的答复</w:t>
      </w:r>
    </w:p>
    <w:p w14:paraId="6C60F61C">
      <w:pPr>
        <w:autoSpaceDE w:val="0"/>
        <w:spacing w:line="576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 w14:paraId="0C238A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姜国义代表：</w:t>
      </w:r>
    </w:p>
    <w:p w14:paraId="055815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76" w:lineRule="exact"/>
        <w:ind w:firstLine="645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您提出的关于“</w:t>
      </w:r>
      <w:r>
        <w:rPr>
          <w:rFonts w:hint="eastAsia" w:eastAsia="仿宋_GB2312"/>
          <w:sz w:val="32"/>
          <w:szCs w:val="32"/>
        </w:rPr>
        <w:t>退耕还林地转换地类或提升经济效益</w:t>
      </w:r>
      <w:r>
        <w:rPr>
          <w:rFonts w:hint="eastAsia" w:ascii="仿宋_GB2312" w:eastAsia="仿宋_GB2312"/>
          <w:sz w:val="32"/>
          <w:szCs w:val="32"/>
        </w:rPr>
        <w:t>”的建议收悉，现答复如下：</w:t>
      </w:r>
    </w:p>
    <w:p w14:paraId="37B328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按照国务院发布的《退耕还林条例》第五十五条退耕还林后，有关地方人民政府应当采取封山禁牧、舍饲圈养等措施，保护退耕还林成果；第六十二条退耕还林者擅自复耕，或者林粮间作、在退耕还林项目实施范围内从事滥采、乱挖等破坏地表植被的活动的，依照刑法关于非法占用农用地罪、滥伐林木罪或者其他罪的规定，依法追究刑事责任;尚不够刑事处罚的，由县级以上人民政府林业、农业、水利行政主管部门依照森林法、草原法、水土保持法的规定处罚。</w:t>
      </w:r>
    </w:p>
    <w:p w14:paraId="6AF369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76" w:lineRule="exact"/>
        <w:ind w:firstLine="645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因此退耕还林地块不得随意转换地类性质，且退耕还林者不得随意对退耕还林地进行复耕、林粮间作等措施。</w:t>
      </w:r>
    </w:p>
    <w:p w14:paraId="22FA1C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76" w:lineRule="exact"/>
        <w:ind w:left="6400" w:hanging="6400" w:hangingChars="20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</w:t>
      </w:r>
    </w:p>
    <w:p w14:paraId="56E6873C">
      <w:pPr>
        <w:autoSpaceDE w:val="0"/>
        <w:spacing w:line="576" w:lineRule="exact"/>
        <w:ind w:left="6400" w:hanging="6400" w:hangingChars="2000"/>
        <w:rPr>
          <w:rFonts w:hint="eastAsia" w:ascii="仿宋_GB2312" w:eastAsia="仿宋_GB2312"/>
          <w:sz w:val="32"/>
          <w:szCs w:val="32"/>
        </w:rPr>
      </w:pPr>
    </w:p>
    <w:p w14:paraId="6A6AB31C">
      <w:pPr>
        <w:autoSpaceDE w:val="0"/>
        <w:spacing w:line="576" w:lineRule="exact"/>
        <w:ind w:left="6387" w:leftChars="2432" w:hanging="1280" w:hangingChars="400"/>
        <w:jc w:val="righ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滦平县林业和草原局</w:t>
      </w:r>
    </w:p>
    <w:p w14:paraId="2BD18905">
      <w:pPr>
        <w:wordWrap w:val="0"/>
        <w:autoSpaceDE w:val="0"/>
        <w:spacing w:line="576" w:lineRule="exact"/>
        <w:ind w:left="6386" w:leftChars="2736" w:hanging="640" w:hangingChars="200"/>
        <w:jc w:val="righ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2025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30</w:t>
      </w:r>
      <w:r>
        <w:rPr>
          <w:rFonts w:hint="eastAsia" w:ascii="仿宋_GB2312" w:eastAsia="仿宋_GB2312"/>
          <w:sz w:val="32"/>
          <w:szCs w:val="32"/>
        </w:rPr>
        <w:t>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</w:p>
    <w:p w14:paraId="2F55E8A1">
      <w:pPr>
        <w:rPr>
          <w:rFonts w:hint="eastAsia" w:ascii="黑体" w:hAnsi="黑体" w:eastAsia="黑体"/>
          <w:sz w:val="32"/>
          <w:szCs w:val="32"/>
        </w:rPr>
      </w:pPr>
    </w:p>
    <w:p w14:paraId="1D2C279C">
      <w:pPr>
        <w:rPr>
          <w:rFonts w:hint="eastAsia" w:ascii="黑体" w:hAnsi="黑体" w:eastAsia="黑体"/>
          <w:sz w:val="32"/>
          <w:szCs w:val="32"/>
        </w:rPr>
      </w:pPr>
    </w:p>
    <w:p w14:paraId="7FD348B5">
      <w:pPr>
        <w:rPr>
          <w:rFonts w:hint="eastAsia" w:ascii="黑体" w:hAnsi="黑体" w:eastAsia="黑体"/>
          <w:sz w:val="32"/>
          <w:szCs w:val="32"/>
        </w:rPr>
      </w:pPr>
    </w:p>
    <w:p w14:paraId="28A742E0">
      <w:pPr>
        <w:pStyle w:val="5"/>
        <w:rPr>
          <w:rFonts w:hint="eastAsia" w:ascii="黑体" w:hAnsi="黑体" w:eastAsia="黑体"/>
          <w:sz w:val="32"/>
          <w:szCs w:val="32"/>
        </w:rPr>
      </w:pPr>
    </w:p>
    <w:p w14:paraId="762EB8FE">
      <w:pPr>
        <w:rPr>
          <w:rFonts w:hint="eastAsia" w:ascii="黑体" w:hAnsi="黑体" w:eastAsia="黑体"/>
          <w:sz w:val="32"/>
          <w:szCs w:val="32"/>
        </w:rPr>
      </w:pPr>
    </w:p>
    <w:p w14:paraId="63D76A26">
      <w:pPr>
        <w:pStyle w:val="5"/>
        <w:rPr>
          <w:rFonts w:hint="eastAsia" w:ascii="黑体" w:hAnsi="黑体" w:eastAsia="黑体"/>
          <w:sz w:val="32"/>
          <w:szCs w:val="32"/>
        </w:rPr>
      </w:pPr>
    </w:p>
    <w:p w14:paraId="02F47CE9">
      <w:pPr>
        <w:rPr>
          <w:rFonts w:hint="eastAsia" w:ascii="黑体" w:hAnsi="黑体" w:eastAsia="黑体"/>
          <w:sz w:val="32"/>
          <w:szCs w:val="32"/>
        </w:rPr>
      </w:pPr>
    </w:p>
    <w:p w14:paraId="47597046">
      <w:pPr>
        <w:pStyle w:val="5"/>
        <w:rPr>
          <w:rFonts w:hint="eastAsia" w:ascii="黑体" w:hAnsi="黑体" w:eastAsia="黑体"/>
          <w:sz w:val="32"/>
          <w:szCs w:val="32"/>
        </w:rPr>
      </w:pPr>
    </w:p>
    <w:p w14:paraId="1E7F7B37">
      <w:pPr>
        <w:rPr>
          <w:rFonts w:hint="eastAsia" w:ascii="黑体" w:hAnsi="黑体" w:eastAsia="黑体"/>
          <w:sz w:val="32"/>
          <w:szCs w:val="32"/>
        </w:rPr>
      </w:pPr>
    </w:p>
    <w:p w14:paraId="23AE0353">
      <w:pPr>
        <w:pStyle w:val="5"/>
        <w:rPr>
          <w:rFonts w:hint="eastAsia" w:ascii="黑体" w:hAnsi="黑体" w:eastAsia="黑体"/>
          <w:sz w:val="32"/>
          <w:szCs w:val="32"/>
        </w:rPr>
      </w:pPr>
    </w:p>
    <w:p w14:paraId="03077E65">
      <w:pPr>
        <w:rPr>
          <w:rFonts w:hint="eastAsia" w:ascii="黑体" w:hAnsi="黑体" w:eastAsia="黑体"/>
          <w:sz w:val="32"/>
          <w:szCs w:val="32"/>
        </w:rPr>
      </w:pPr>
    </w:p>
    <w:p w14:paraId="3D017170">
      <w:pPr>
        <w:rPr>
          <w:rFonts w:hint="eastAsia" w:ascii="黑体" w:hAnsi="黑体" w:eastAsia="黑体"/>
          <w:sz w:val="32"/>
          <w:szCs w:val="32"/>
        </w:rPr>
      </w:pPr>
    </w:p>
    <w:p w14:paraId="3737B1EB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领导签发：</w:t>
      </w:r>
    </w:p>
    <w:p w14:paraId="34D3A249">
      <w:pPr>
        <w:spacing w:line="560" w:lineRule="exac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联系人及电话：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王焱一 13253196666</w:t>
      </w:r>
    </w:p>
    <w:p w14:paraId="33E300FB">
      <w:pPr>
        <w:spacing w:line="560" w:lineRule="exact"/>
      </w:pPr>
      <w:r>
        <w:rPr>
          <w:rFonts w:hint="eastAsia" w:ascii="仿宋_GB2312" w:eastAsia="仿宋_GB2312"/>
          <w:sz w:val="32"/>
          <w:szCs w:val="32"/>
        </w:rPr>
        <w:t>抄报：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县政协提案</w:t>
      </w:r>
      <w:r>
        <w:rPr>
          <w:rFonts w:hint="eastAsia" w:ascii="仿宋_GB2312" w:eastAsia="仿宋_GB2312"/>
          <w:sz w:val="32"/>
          <w:szCs w:val="32"/>
        </w:rPr>
        <w:t>委员会，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县</w:t>
      </w:r>
      <w:r>
        <w:rPr>
          <w:rFonts w:hint="eastAsia" w:ascii="仿宋_GB2312" w:eastAsia="仿宋_GB2312"/>
          <w:sz w:val="32"/>
          <w:szCs w:val="32"/>
        </w:rPr>
        <w:t>政府办公室</w:t>
      </w:r>
    </w:p>
    <w:p w14:paraId="7A5D1FB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82EE4FE-E50E-4194-8735-B6BB9879AF0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069B3E16-ACE8-45A7-BEEB-DECF645287F8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F6835C20-0ABF-4924-A4C5-62449E8C7D72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43608C2B-9B84-4ACB-83B3-11602C191F56}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  <w:embedRegular r:id="rId5" w:fontKey="{8C8B73EE-9CD7-4B7E-A1A3-4EA21BD2A0A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E43"/>
    <w:rsid w:val="008D2764"/>
    <w:rsid w:val="00A459D0"/>
    <w:rsid w:val="00DF3E43"/>
    <w:rsid w:val="1F4D1A4B"/>
    <w:rsid w:val="20726EFB"/>
    <w:rsid w:val="22115774"/>
    <w:rsid w:val="2BC80406"/>
    <w:rsid w:val="2C944B30"/>
    <w:rsid w:val="3C29091D"/>
    <w:rsid w:val="41B554A9"/>
    <w:rsid w:val="42C1148A"/>
    <w:rsid w:val="63B65872"/>
    <w:rsid w:val="6785131A"/>
    <w:rsid w:val="72B11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  <w:style w:type="paragraph" w:customStyle="1" w:styleId="5">
    <w:name w:val="Plain Text1"/>
    <w:basedOn w:val="1"/>
    <w:next w:val="1"/>
    <w:qFormat/>
    <w:uiPriority w:val="0"/>
    <w:pPr>
      <w:spacing w:before="100" w:beforeAutospacing="1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410</Words>
  <Characters>428</Characters>
  <Lines>3</Lines>
  <Paragraphs>1</Paragraphs>
  <TotalTime>0</TotalTime>
  <ScaleCrop>false</ScaleCrop>
  <LinksUpToDate>false</LinksUpToDate>
  <CharactersWithSpaces>553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2025-07-07T09:14:00Z</dcterms:created>
  <dc:creator>xb21cn</dc:creator>
  <cp:lastModifiedBy>高敏</cp:lastModifiedBy>
  <dcterms:modified xsi:type="dcterms:W3CDTF">2025-08-12T08:05:24Z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eyJoZGlkIjoiNDkwODAzM2EwMmU5Njc1OWE1MjA2YTEwM2Q2ZmUxYmMiLCJ1c2VySWQiOiIxNjQ2MDUyMTY4In0=</vt:lpwstr>
  </property>
  <property fmtid="{D5CDD505-2E9C-101B-9397-08002B2CF9AE}" pid="3" name="KSOProductBuildVer">
    <vt:lpwstr>2052-12.1.0.21915</vt:lpwstr>
  </property>
  <property fmtid="{D5CDD505-2E9C-101B-9397-08002B2CF9AE}" pid="4" name="ICV">
    <vt:lpwstr>28E29E79A793496CBDD0914DFF7B8B63_13</vt:lpwstr>
  </property>
</Properties>
</file>